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Договор оказания технических услуг</w:t>
      </w:r>
    </w:p>
    <w:p>
      <w:r>
        <w:t>Шаблон для ознакомления организациям и ИП. До подписания заполните реквизиты, задание, сроки и стоимость. Скачивание или просмотр не заключают договор.</w:t>
      </w:r>
    </w:p>
    <w:p>
      <w:r>
        <w:t>№ [номер]                     г [город]                     [дата]</w:t>
      </w:r>
    </w:p>
    <w:p>
      <w:r>
        <w:t>Гражданин(ка) [ФИО полностью], ИНН [ИНН], применяющий(ая) специальный налоговый режим «Налог на профессиональный доход», далее Исполнитель, и [наименование организации либо ФИО ИП], ИНН [ИНН], в лице [должность и ФИО], действующего на основании [основание], далее Заказчик, заключили договор о следующем.</w:t>
      </w:r>
    </w:p>
    <w:p>
      <w:pPr>
        <w:pStyle w:val="Heading1"/>
      </w:pPr>
      <w:r>
        <w:t>1 Предмет и границы обязательств</w:t>
      </w:r>
    </w:p>
    <w:p>
      <w:r>
        <w:t>1.1. Исполнитель оказывает только услуги, прямо перечисленные в согласованном Задании по Приложению 1. Заказчик принимает результат и оплачивает услуги. Переписка общего характера, примеры на сайте и устные пожелания не расширяют согласованный объём. До согласования Задания обязанность выполнять конкретную задачу не возникает.</w:t>
      </w:r>
    </w:p>
    <w:p>
      <w:r>
        <w:t>1.2. Возможны разработка и сопровождение сайтов, настройка компьютеров, серверов, сетей, корпоративного ПО и автоматизации, подготовка рабочего места для КриптоПро, КриптоАРМ и выбранных государственных или деловых систем. Конкретный результат, его критерии и исключения обязательно указываются в Задании.</w:t>
      </w:r>
    </w:p>
    <w:p>
      <w:r>
        <w:t>1.3. Настройка электронной подписи не включает её выпуск, передачу закрытого ключа, подписание документов за Заказчика, подачу отчётности, юридическое представительство или гарантию принятия документов ведомством. Закрытые ключи, PIN-коды и окончательная проверка подписываемого документа остаются под контролем Заказчика.</w:t>
      </w:r>
    </w:p>
    <w:p>
      <w:r>
        <w:t>1.4. Договор предназначен для деловых нужд организации или ИП. Продажа оборудования, лицензий, круглосуточное дежурство и неограниченное сопровождение в него не входят. Для услуг гражданам в личных целях стороны согласуют отдельный договор с учётом обязательных прав потребителя.</w:t>
      </w:r>
    </w:p>
    <w:p>
      <w:pPr>
        <w:pStyle w:val="Heading1"/>
      </w:pPr>
      <w:r>
        <w:t>2 Организация работы и обязанности Заказчика</w:t>
      </w:r>
    </w:p>
    <w:p>
      <w:r>
        <w:t>2.1. Исполнитель самостоятельно определяет методы, место и время работы в пределах согласованных сроков. Договор не устанавливает трудовых отношений, рабочего места у Заказчика и подчинения его внутреннему распорядку. Привлечение третьих лиц, если требуется доступ к закрытым сведениям Заказчика, согласуется отдельно.</w:t>
      </w:r>
    </w:p>
    <w:p>
      <w:r>
        <w:t>2.2. Заказчик назначает одного уполномоченного представителя, обеспечивает законность материалов, лицензий и доступов, своевременно предоставляет исходные сведения и согласования. Исполнитель вправе полагаться на инструкции этого представителя в пределах Задания.</w:t>
      </w:r>
    </w:p>
    <w:p>
      <w:r>
        <w:t>2.3. До изменения действующей системы Заказчик обеспечивает актуальную резервную копию и возможность восстановления. Создание и проверка копии силами Исполнителя заказываются отдельно. Исполнитель сообщает об обнаруженных существенных рисках и не выполняет явно неправомерные или заведомо опасные указания.</w:t>
      </w:r>
    </w:p>
    <w:p>
      <w:r>
        <w:br w:type="page"/>
      </w:r>
    </w:p>
    <w:p>
      <w:pPr>
        <w:pStyle w:val="Title"/>
      </w:pPr>
      <w:r>
        <w:t>Цена и управление объёмом работ</w:t>
      </w:r>
    </w:p>
    <w:p>
      <w:r>
        <w:t>Продолжение договора № [номер] от [дата]</w:t>
      </w:r>
    </w:p>
    <w:p>
      <w:pPr>
        <w:pStyle w:val="Heading1"/>
      </w:pPr>
      <w:r>
        <w:t>3 Цена и порядок оплаты</w:t>
      </w:r>
    </w:p>
    <w:p>
      <w:r>
        <w:t>3.1. Цена, этапы и порядок расчётов фиксируются в Задании. Если в нём не согласовано иное: разовая задача стоимостью до 10 000 рублей оплачивается авансом полностью; по более дорогой задаче вносится 70% аванса, оставшиеся 30% — в течение 3 рабочих дней после приёмки соответствующего этапа. Передача финальных исходников и прав производится после полной оплаты, если иной порядок прямо не предусмотрен Заданием.</w:t>
      </w:r>
    </w:p>
    <w:p>
      <w:r>
        <w:t>3.2. Оплата производится в рублях на указанный Исполнителем счёт. Комиссии банка Заказчика и предварительно согласованные лицензии, оборудование, хостинг, домены, услуги удостоверяющих центров и иных третьих лиц оплачивает Заказчик. Исполнитель не обязан приобретать их за собственные средства.</w:t>
      </w:r>
    </w:p>
    <w:p>
      <w:r>
        <w:t>3.3. Сопровождение оплачивается до начала согласованного периода. Задание определяет доступность Исполнителя, лимит часов или задач, каналы связи и время реакции. Если прямо согласован абонентский формат с обеспечением готовности по статье 429.4 ГК РФ, плата вносится за эту готовность в периоде независимо от числа обращений, а неиспользованный лимит не переносится. Условие действует при фактическом обеспечении согласованной готовности и не отменяет обязательные основания возврата.</w:t>
      </w:r>
    </w:p>
    <w:p>
      <w:r>
        <w:t>3.4. За просрочку оплаты Исполнитель вправе требовать неустойку 0,1% от просроченной суммы за каждый день, всего не более 10% этой суммы. Применение и возможное уменьшение неустойки определяются законом. Спор об отдельной части результата не приостанавливает оплату принятой и неоспариваемой части.</w:t>
      </w:r>
    </w:p>
    <w:p>
      <w:r>
        <w:t>3.5. При сохранении права на НПД Исполнитель не предъявляет НДС, формирует и передаёт чек «Мой налог» в законный срок. Об утрате права на НПД он уведомляет не позднее следующего рабочего дня после того, как узнал об этом. Дальнейшие условия стороны согласуют письменно. Заказчик предоставляет корректные реквизиты для чека; акт и платёжное поручение не заменяют чек.</w:t>
      </w:r>
    </w:p>
    <w:p>
      <w:pPr>
        <w:pStyle w:val="Heading1"/>
      </w:pPr>
      <w:r>
        <w:t>4 Сроки и дополнительные задачи</w:t>
      </w:r>
    </w:p>
    <w:p>
      <w:r>
        <w:t>4.1. Срок начинается после согласования Задания, получения предусмотренного аванса, материалов и необходимых доступов. При задержке со стороны Заказчика течение затронутого срока приостанавливается на период задержки и разумное время возобновления работы, о котором Исполнитель уведомляет письменно.</w:t>
      </w:r>
    </w:p>
    <w:p>
      <w:r>
        <w:t>4.2. Новый функционал, иная интеграция, дополнительные устройства, расширение объёма и изменение уже согласованного решения оплачиваются отдельно. Исполнитель сообщает стоимость и влияние на сроки до начала дополнительных работ. Отсутствие ответа не считается согласием на их цену.</w:t>
      </w:r>
    </w:p>
    <w:p>
      <w:r>
        <w:t>4.3. При просрочке оплаты, отсутствии необходимого доступа или сведений Исполнитель после письменного уведомления вправе приостановить затронутые и новые задачи до устранения препятствия. Он не удаляет оплаченные материалы и не блокирует действующие системы Заказчика в качестве способа взыскания долга.</w:t>
      </w:r>
    </w:p>
    <w:p>
      <w:r>
        <w:t>4.4. Срок реакции не равен сроку устранения неисправности. Срочность, выезд, ночные и выходные работы, восстановление после действий третьих лиц и гарантия доступности входят в обязательства только при прямом согласовании и указании цены в Задании.</w:t>
      </w:r>
    </w:p>
    <w:p>
      <w:r>
        <w:br w:type="page"/>
      </w:r>
    </w:p>
    <w:p>
      <w:pPr>
        <w:pStyle w:val="Title"/>
      </w:pPr>
      <w:r>
        <w:t>Приёмка и права на результат</w:t>
      </w:r>
    </w:p>
    <w:p>
      <w:r>
        <w:t>Продолжение договора № [номер] от [дата]</w:t>
      </w:r>
    </w:p>
    <w:p>
      <w:pPr>
        <w:pStyle w:val="Heading1"/>
      </w:pPr>
      <w:r>
        <w:t>5 Передача и приёмка услуг</w:t>
      </w:r>
    </w:p>
    <w:p>
      <w:r>
        <w:t>5.1. Исполнитель направляет результат или доступ к его проверке, отчёт и акт на согласованный email Заказчика. Для приёмки достаточно возможности проверить согласованные критерии; передача неоплаченных финальных исходников для этого не обязательна.</w:t>
      </w:r>
    </w:p>
    <w:p>
      <w:r>
        <w:t>5.2. В течение 5 рабочих дней с подтверждённого получения Заказчик подписывает акт либо направляет единый мотивированный перечень конкретных несоответствий Заданию с примерами для воспроизведения. Если в этот срок возражения не получены, услуги считаются принятыми в соответствующей части. Исполнитель может оформить односторонний акт с доказательствами передачи результата и истечения срока.</w:t>
      </w:r>
    </w:p>
    <w:p>
      <w:r>
        <w:t>5.3. Мелкие недостатки, не препятствующие использованию согласованного результата, фиксируются отдельно с разумным сроком исправления и не являются основанием задерживать приёмку и оплату всей задачи. Неоспариваемая часть принимается и оплачивается отдельно. Законные права в отношении скрытых недостатков сохраняются.</w:t>
      </w:r>
    </w:p>
    <w:p>
      <w:r>
        <w:t>5.4. Отступления от Задания, возникшие по вине Исполнителя, исправляются без дополнительной оплаты в разумный согласованный срок. Новые пожелания, изменение законодательства или внешнего сервиса, чужие правки, замена оборудования и отсутствие лицензии у Заказчика не являются такими отступлениями сами по себе. Причина и необходимый объём доработки устанавливаются по результатам диагностики.</w:t>
      </w:r>
    </w:p>
    <w:p>
      <w:r>
        <w:t>5.5. После согласованного исправления Заказчик проверяет только исправленную часть по прежним критериям в течение 3 рабочих дней, если не установлен иной срок. Этот порядок не ограничивает обязательные права по закону.</w:t>
      </w:r>
    </w:p>
    <w:p>
      <w:pPr>
        <w:pStyle w:val="Heading1"/>
      </w:pPr>
      <w:r>
        <w:t>6 Интеллектуальные права и исходные материалы</w:t>
      </w:r>
    </w:p>
    <w:p>
      <w:r>
        <w:t>6.1. Если Задание предусматривает создание охраняемого результата, исключительное право на специально созданные и прямо перечисленные в Задании элементы переходит после их полной оплаты. Вознаграждение за отчуждение составляет 10% цены соответствующего элемента и включено в неё, если Задание не устанавливает иной размер. До оплаты разрешена только проверка результата без коммерческого использования неоплаченных элементов.</w:t>
      </w:r>
    </w:p>
    <w:p>
      <w:r>
        <w:t>6.2. Предшествующие разработки, типовые инструменты, библиотеки и компоненты третьих лиц не отчуждаются. Для использования оплаченного результата Заказчик получает необходимые права на встроенные элементы Исполнителя в составе проекта; права на сторонние компоненты определяются их лицензиями. Передача исключительных прав на них не обещается.</w:t>
      </w:r>
    </w:p>
    <w:p>
      <w:r>
        <w:t>6.3. Состав передаваемых исходников, файлов, документации и доступов определяется Заданием. Материалы, которые Заказчик передал для работы, остаются у их правообладателей. Заказчик отвечает за наличие разрешений на свои тексты, фото, логотипы и программное обеспечение.</w:t>
      </w:r>
    </w:p>
    <w:p>
      <w:pPr>
        <w:pStyle w:val="Heading1"/>
      </w:pPr>
      <w:r>
        <w:t>7 Конфиденциальность и доступы</w:t>
      </w:r>
    </w:p>
    <w:p>
      <w:r>
        <w:t>7.1. Стороны защищают непубличные материалы и доступы, не передают их посторонним без правового основания и используют только для исполнения договора. Условие действует 3 года после прекращения договора, а для охраняемой законом тайны — в течение установленного законом срока.</w:t>
      </w:r>
    </w:p>
    <w:p>
      <w:r>
        <w:t>7.2. Публикация проекта в портфолио допускается только по отдельно зафиксированному согласию Заказчика. До доступа к персональным данным по поручению Заказчика стороны отдельно оформляют необходимое поручение на обработку. Пароли и закрытые ключи не включаются в акты и общедоступную переписку.</w:t>
      </w:r>
    </w:p>
    <w:p>
      <w:r>
        <w:br w:type="page"/>
      </w:r>
    </w:p>
    <w:p>
      <w:pPr>
        <w:pStyle w:val="Title"/>
      </w:pPr>
      <w:r>
        <w:t>Ответственность и прекращение договора</w:t>
      </w:r>
    </w:p>
    <w:p>
      <w:r>
        <w:t>Продолжение договора № [номер] от [дата]</w:t>
      </w:r>
    </w:p>
    <w:p>
      <w:pPr>
        <w:pStyle w:val="Heading1"/>
      </w:pPr>
      <w:r>
        <w:t>8 Ответственность и внешние зависимости</w:t>
      </w:r>
    </w:p>
    <w:p>
      <w:r>
        <w:t>8.1. В допускаемых законом пределах ответственность Исполнителя за неумышленное нарушение ограничивается документально подтверждённым прямым ущербом и суммой вознаграждения по затронутому Заданию. Упущенная выгода, косвенные потери и коммерческие ожидания не возмещаются. Ограничения не применяются к умышленному нарушению и другим случаям, в которых закон запрещает ограничивать ответственность.</w:t>
      </w:r>
    </w:p>
    <w:p>
      <w:r>
        <w:t>8.2. Исполнитель не гарантирует рост выручки, позиции в поиске, одобрение документов ведомством или непрерывную работу чужой платформы за пределами согласованного контроля. Сбои провайдера, изменения внешних систем и действия третьих лиц сами по себе не подтверждают вину Исполнителя. Согласованные обязанности по диагностике, уведомлению и восстановлению сохраняются.</w:t>
      </w:r>
    </w:p>
    <w:p>
      <w:r>
        <w:t>8.3. Заказчик отвечает за достоверность исходных сведений, законность своих материалов и указаний, своевременную оплату и согласованный режим резервирования. Распределение этих обязанностей не освобождает Исполнителя от ответственности за собственные виновные действия. Каждая сторона принимает разумные меры для уменьшения убытков.</w:t>
      </w:r>
    </w:p>
    <w:p>
      <w:r>
        <w:t>8.4. При доказанных обстоятельствах непреодолимой силы ответственность определяется законом. Сторона без неоправданной задержки сообщает о препятствии и его влиянии на обязательства. Отсутствие денег и обычные изменения рыночной ситуации сами по себе непреодолимой силой не признаются.</w:t>
      </w:r>
    </w:p>
    <w:p>
      <w:pPr>
        <w:pStyle w:val="Heading1"/>
      </w:pPr>
      <w:r>
        <w:t>9 Изменение и прекращение договора</w:t>
      </w:r>
    </w:p>
    <w:p>
      <w:r>
        <w:t>9.1. Заказчик вправе отказаться от услуг по статье 782 ГК РФ с оплатой фактически оказанных услуг и подлежащих возмещению фактически понесённых расходов. Уже выполненные этапы рассчитываются по согласованным ценам, незавершённые — по доказанному объёму и согласованной в Задании ставке, без двойного учёта расходов. Неоспариваемый неотработанный остаток аванса возвращается в течение 10 рабочих дней после получения отказа и реквизитов, если обязательный законный срок не короче.</w:t>
      </w:r>
    </w:p>
    <w:p>
      <w:r>
        <w:t>9.2. Отказ Исполнителя допускается с соблюдением статьи 782 ГК РФ и иных обязательных норм, включая предусмотренные законом условия возмещения убытков. Договор не устанавливает безусловно невозвратный аванс. Прекращение не отменяет возникшие обязательства по оплате, передаче оплаченного результата и конфиденциальности.</w:t>
      </w:r>
    </w:p>
    <w:p>
      <w:pPr>
        <w:pStyle w:val="Heading1"/>
      </w:pPr>
      <w:r>
        <w:t>10 Документы и разрешение споров</w:t>
      </w:r>
    </w:p>
    <w:p>
      <w:r>
        <w:t>10.1. Задания, акты и уведомления направляются с email, указанных в реквизитах. Стороны признают такие сообщения и приложенные скан-копии способом согласования условий и обязуются защищать свои адреса; для документов, требующих иной формы по закону, используется соответствующая форма. Получение подтверждается ответом, уведомлением о доставке или иными достоверными доказательствами.</w:t>
      </w:r>
    </w:p>
    <w:p>
      <w:r>
        <w:t>10.2. До обращения в суд сторона направляет письменную претензию. Срок ответа — 10 рабочих дней, если закон не требует иного. В допускаемых законом пределах договорная территориальная подсудность устанавливается по месту жительства Исполнителя; исключительная и родовая подсудность не изменяются. Применяется право Российской Федерации.</w:t>
      </w:r>
    </w:p>
    <w:p>
      <w:r>
        <w:t>10.3. Изменения, специальные гарантии и дополнительные обязательства действуют после письменного согласования. Недействительность отдельного условия не отменяет остальные. Задание может уточнять договор, но не отменяет обязательные нормы закона.</w:t>
      </w:r>
    </w:p>
    <w:p>
      <w:r>
        <w:br w:type="page"/>
      </w:r>
    </w:p>
    <w:p>
      <w:pPr>
        <w:pStyle w:val="Title"/>
      </w:pPr>
      <w:r>
        <w:t>Реквизиты и подписи сторон</w:t>
      </w:r>
    </w:p>
    <w:p>
      <w:r>
        <w:t>Продолжение договора № [номер] от [дата]</w:t>
      </w:r>
    </w:p>
    <w:p>
      <w:pPr>
        <w:pStyle w:val="Heading1"/>
      </w:pPr>
      <w:r>
        <w:t>11 Исполнитель</w:t>
      </w:r>
    </w:p>
    <w:p>
      <w:r>
        <w:t>ФИО полностью: [заполнить]</w:t>
        <w:br/>
        <w:t>ИНН: [заполнить]</w:t>
        <w:br/>
        <w:t>Статус НПД подтверждён на дату: [дата и документ / проверка ФНС]</w:t>
        <w:br/>
        <w:t>Адрес для юридически значимых сообщений: [заполнить]</w:t>
        <w:br/>
        <w:t>Email для согласований и уведомлений: [заполнить]</w:t>
        <w:br/>
        <w:t>Получатель: [заполнить]</w:t>
        <w:br/>
        <w:t>Банк, БИК: [заполнить]</w:t>
        <w:br/>
        <w:t>Счёт, корреспондентский счёт при необходимости: [заполнить]</w:t>
      </w:r>
    </w:p>
    <w:p>
      <w:pPr>
        <w:pStyle w:val="Heading1"/>
      </w:pPr>
      <w:r>
        <w:t>12 Заказчик</w:t>
      </w:r>
    </w:p>
    <w:p>
      <w:r>
        <w:t>Наименование организации / ФИО ИП: [заполнить]</w:t>
        <w:br/>
        <w:t>ИНН, КПП при наличии: [заполнить]</w:t>
        <w:br/>
        <w:t>ОГРН / ОГРНИП: [заполнить]</w:t>
        <w:br/>
        <w:t>Адрес для юридически значимых сообщений: [заполнить]</w:t>
        <w:br/>
        <w:t>Представитель и основание полномочий: [заполнить]</w:t>
        <w:br/>
        <w:t>Email для согласований и уведомлений: [заполнить]</w:t>
        <w:br/>
        <w:t>Банк, БИК, счёт: [заполнить]</w:t>
        <w:br/>
        <w:t>Уполномоченный контакт по Заданию: [ФИО и email]</w:t>
      </w:r>
    </w:p>
    <w:p>
      <w:r>
        <w:t>Стороны подтверждают, что Заказчик не является нынешним работодателем Исполнителя либо бывшим работодателем, с даты прекращения трудовых отношений с которым прошло менее двух лет. При наличии таких обстоятельств применение НПД к соответствующему доходу отдельно проверяется до расчётов.</w:t>
      </w:r>
    </w:p>
    <w:p>
      <w:r>
        <w:t>Приложение 1 — Задание на оказание услуг.</w:t>
        <w:br/>
        <w:t>Приложение 2 — Акт оказанных услуг.</w:t>
      </w:r>
    </w:p>
    <w:p>
      <w:r>
        <w:t>Исполнитель: ____________ / [ФИО] /</w:t>
        <w:br/>
        <w:br/>
        <w:t>Заказчик: ____________ / [ФИО и должность] /</w:t>
      </w:r>
    </w:p>
    <w:p>
      <w:r>
        <w:br w:type="page"/>
      </w:r>
    </w:p>
    <w:p>
      <w:pPr>
        <w:pStyle w:val="Title"/>
      </w:pPr>
      <w:r>
        <w:t>Задание на оказание услуг</w:t>
      </w:r>
    </w:p>
    <w:p>
      <w:r>
        <w:t>Приложение 1 к договору № [номер] от [дата]</w:t>
        <w:br/>
        <w:t>Задание № [номер] от [дата]</w:t>
      </w:r>
    </w:p>
    <w:p>
      <w:r>
        <w:rPr>
          <w:b/>
        </w:rPr>
        <w:t>Задача и объект</w:t>
        <w:br/>
      </w:r>
      <w:r>
        <w:t>[Система, сайт, рабочее место; ожидаемый результат]</w:t>
      </w:r>
    </w:p>
    <w:p>
      <w:r>
        <w:rPr>
          <w:b/>
        </w:rPr>
        <w:t>Состав услуг и исключения</w:t>
        <w:br/>
      </w:r>
      <w:r>
        <w:t>[Перечень конкретных работ и что в него не входит]</w:t>
      </w:r>
    </w:p>
    <w:p>
      <w:r>
        <w:rPr>
          <w:b/>
        </w:rPr>
        <w:t>Критерии приёмки</w:t>
        <w:br/>
      </w:r>
      <w:r>
        <w:t>[Проверяемые функции, условия и способ подтверждения]</w:t>
      </w:r>
    </w:p>
    <w:p>
      <w:r>
        <w:rPr>
          <w:b/>
        </w:rPr>
        <w:t>Этапы и сроки</w:t>
        <w:br/>
      </w:r>
      <w:r>
        <w:t>[Этап, дата начала после оплаты и доступов, дата результата]</w:t>
      </w:r>
    </w:p>
    <w:p>
      <w:r>
        <w:rPr>
          <w:b/>
        </w:rPr>
        <w:t>Цена и расчёты</w:t>
        <w:br/>
      </w:r>
      <w:r>
        <w:t>[Стоимость каждого этапа, аванс, остаток, срок оплаты]</w:t>
      </w:r>
    </w:p>
    <w:p>
      <w:r>
        <w:rPr>
          <w:b/>
        </w:rPr>
        <w:t>Дополнительные работы</w:t>
        <w:br/>
      </w:r>
      <w:r>
        <w:t>[Почасовая ставка; порядок оценки и письменного согласования]</w:t>
      </w:r>
    </w:p>
    <w:p>
      <w:r>
        <w:rPr>
          <w:b/>
        </w:rPr>
        <w:t>Расходы третьих лиц</w:t>
        <w:br/>
      </w:r>
      <w:r>
        <w:t>[Лицензии, домены, хостинг, оборудование; кто приобретает]</w:t>
      </w:r>
    </w:p>
    <w:p>
      <w:r>
        <w:rPr>
          <w:b/>
        </w:rPr>
        <w:t>Доступы и резервирование</w:t>
        <w:br/>
      </w:r>
      <w:r>
        <w:t>[Что предоставляет Заказчик; кто создаёт и проверяет копию]</w:t>
      </w:r>
    </w:p>
    <w:p>
      <w:r>
        <w:rPr>
          <w:b/>
        </w:rPr>
        <w:t>Права и исходники</w:t>
        <w:br/>
      </w:r>
      <w:r>
        <w:t>[Создаваемые охраняемые элементы, цена каждого, состав исходников и лицензии]</w:t>
      </w:r>
    </w:p>
    <w:p>
      <w:r>
        <w:rPr>
          <w:b/>
        </w:rPr>
        <w:t>Сопровождение если заказано</w:t>
        <w:br/>
      </w:r>
      <w:r>
        <w:t>[Период, готовность, лимиты, часы и каналы реакции; абонентский формат да / нет]</w:t>
      </w:r>
    </w:p>
    <w:p>
      <w:r>
        <w:rPr>
          <w:b/>
        </w:rPr>
        <w:t>Ответственные лица</w:t>
        <w:br/>
      </w:r>
      <w:r>
        <w:t>[Представитель Заказчика и контакт Исполнителя]</w:t>
      </w:r>
    </w:p>
    <w:p>
      <w:r>
        <w:rPr>
          <w:b/>
        </w:rPr>
        <w:t>Специальные условия</w:t>
        <w:br/>
      </w:r>
      <w:r>
        <w:t>[Порядок передачи, дополнительные гарантии и иные согласования]</w:t>
      </w:r>
    </w:p>
    <w:p>
      <w:r>
        <w:t>Исполнитель: ____________ / [ФИО] /     Заказчик: ____________ / [ФИО] /</w:t>
      </w:r>
    </w:p>
    <w:p>
      <w:r>
        <w:br w:type="page"/>
      </w:r>
    </w:p>
    <w:p>
      <w:pPr>
        <w:pStyle w:val="Title"/>
      </w:pPr>
      <w:r>
        <w:t>Акт оказанных услуг</w:t>
      </w:r>
    </w:p>
    <w:p>
      <w:r>
        <w:t>Приложение 2 к договору № [номер] от [дата]</w:t>
        <w:br/>
        <w:t>Акт № [номер] от [дата]</w:t>
      </w:r>
    </w:p>
    <w:p>
      <w:r>
        <w:t>[ФИО Исполнителя], плательщик НПД, и [наименование / ФИО ИП Заказчика] составили акт по Заданию № [номер] за период с [дата] по [дата].</w:t>
      </w:r>
    </w:p>
    <w:tbl>
      <w:tblPr>
        <w:tblStyle w:val="TableGrid"/>
        <w:tblW w:type="auto" w:w="0"/>
        <w:tblLook w:firstColumn="1" w:firstRow="1" w:lastColumn="0" w:lastRow="0" w:noHBand="0" w:noVBand="1" w:val="04A0"/>
      </w:tblPr>
      <w:tblGrid>
        <w:gridCol w:w="3213"/>
        <w:gridCol w:w="3213"/>
        <w:gridCol w:w="3213"/>
      </w:tblGrid>
      <w:tr>
        <w:trPr>
          <w:cantSplit/>
        </w:trPr>
        <w:tc>
          <w:tcPr>
            <w:tcW w:type="dxa" w:w="3213"/>
            <w:shd w:fill="E9EDF3"/>
            <w:tcBorders>
              <w:top w:val="single" w:sz="4" w:color="D9D9D9"/>
              <w:left w:val="single" w:sz="4" w:color="D9D9D9"/>
              <w:bottom w:val="single" w:sz="4" w:color="D9D9D9"/>
              <w:right w:val="single" w:sz="4" w:color="D9D9D9"/>
            </w:tcBorders>
          </w:tcPr>
          <w:p>
            <w:pPr>
              <w:spacing w:before="100" w:after="100"/>
            </w:pPr>
            <w:r>
              <w:rPr>
                <w:b/>
              </w:rPr>
              <w:t>Услуга и переданный результат</w:t>
            </w:r>
          </w:p>
        </w:tc>
        <w:tc>
          <w:tcPr>
            <w:tcW w:type="dxa" w:w="3213"/>
            <w:shd w:fill="E9EDF3"/>
            <w:tcBorders>
              <w:top w:val="single" w:sz="4" w:color="D9D9D9"/>
              <w:left w:val="single" w:sz="4" w:color="D9D9D9"/>
              <w:bottom w:val="single" w:sz="4" w:color="D9D9D9"/>
              <w:right w:val="single" w:sz="4" w:color="D9D9D9"/>
            </w:tcBorders>
          </w:tcPr>
          <w:p>
            <w:pPr>
              <w:spacing w:before="100" w:after="100"/>
            </w:pPr>
            <w:r>
              <w:rPr>
                <w:b/>
              </w:rPr>
              <w:t>Объём</w:t>
            </w:r>
          </w:p>
        </w:tc>
        <w:tc>
          <w:tcPr>
            <w:tcW w:type="dxa" w:w="3213"/>
            <w:shd w:fill="E9EDF3"/>
            <w:tcBorders>
              <w:top w:val="single" w:sz="4" w:color="D9D9D9"/>
              <w:left w:val="single" w:sz="4" w:color="D9D9D9"/>
              <w:bottom w:val="single" w:sz="4" w:color="D9D9D9"/>
              <w:right w:val="single" w:sz="4" w:color="D9D9D9"/>
            </w:tcBorders>
          </w:tcPr>
          <w:p>
            <w:pPr>
              <w:spacing w:before="100" w:after="100"/>
            </w:pPr>
            <w:r>
              <w:rPr>
                <w:b/>
              </w:rPr>
              <w:t>Стоимость ₽</w:t>
            </w:r>
          </w:p>
        </w:tc>
      </w:tr>
      <w:tr>
        <w:trPr>
          <w:cantSplit/>
        </w:trPr>
        <w:tc>
          <w:tcPr>
            <w:tcW w:type="dxa" w:w="3213"/>
            <w:tcBorders>
              <w:top w:val="single" w:sz="4" w:color="D9D9D9"/>
              <w:left w:val="single" w:sz="4" w:color="D9D9D9"/>
              <w:bottom w:val="single" w:sz="4" w:color="D9D9D9"/>
              <w:right w:val="single" w:sz="4" w:color="D9D9D9"/>
            </w:tcBorders>
          </w:tcPr>
          <w:p>
            <w:pPr>
              <w:spacing w:before="100" w:after="100"/>
            </w:pPr>
            <w:r>
              <w:t>[Описание]</w:t>
            </w:r>
          </w:p>
        </w:tc>
        <w:tc>
          <w:tcPr>
            <w:tcW w:type="dxa" w:w="3213"/>
            <w:tcBorders>
              <w:top w:val="single" w:sz="4" w:color="D9D9D9"/>
              <w:left w:val="single" w:sz="4" w:color="D9D9D9"/>
              <w:bottom w:val="single" w:sz="4" w:color="D9D9D9"/>
              <w:right w:val="single" w:sz="4" w:color="D9D9D9"/>
            </w:tcBorders>
          </w:tcPr>
          <w:p>
            <w:pPr>
              <w:spacing w:before="100" w:after="100"/>
            </w:pPr>
            <w:r>
              <w:t>[Объём]</w:t>
            </w:r>
          </w:p>
        </w:tc>
        <w:tc>
          <w:tcPr>
            <w:tcW w:type="dxa" w:w="3213"/>
            <w:tcBorders>
              <w:top w:val="single" w:sz="4" w:color="D9D9D9"/>
              <w:left w:val="single" w:sz="4" w:color="D9D9D9"/>
              <w:bottom w:val="single" w:sz="4" w:color="D9D9D9"/>
              <w:right w:val="single" w:sz="4" w:color="D9D9D9"/>
            </w:tcBorders>
          </w:tcPr>
          <w:p>
            <w:pPr>
              <w:spacing w:before="100" w:after="100"/>
            </w:pPr>
            <w:r>
              <w:t>[Сумма]</w:t>
            </w:r>
          </w:p>
        </w:tc>
      </w:tr>
      <w:tr>
        <w:trPr>
          <w:cantSplit/>
        </w:trPr>
        <w:tc>
          <w:tcPr>
            <w:tcW w:type="dxa" w:w="3213"/>
            <w:tcBorders>
              <w:top w:val="single" w:sz="4" w:color="D9D9D9"/>
              <w:left w:val="single" w:sz="4" w:color="D9D9D9"/>
              <w:bottom w:val="single" w:sz="4" w:color="D9D9D9"/>
              <w:right w:val="single" w:sz="4" w:color="D9D9D9"/>
            </w:tcBorders>
          </w:tcPr>
          <w:p>
            <w:pPr>
              <w:spacing w:before="100" w:after="100"/>
            </w:pPr>
            <w:r>
              <w:t>[Описание]</w:t>
            </w:r>
          </w:p>
        </w:tc>
        <w:tc>
          <w:tcPr>
            <w:tcW w:type="dxa" w:w="3213"/>
            <w:tcBorders>
              <w:top w:val="single" w:sz="4" w:color="D9D9D9"/>
              <w:left w:val="single" w:sz="4" w:color="D9D9D9"/>
              <w:bottom w:val="single" w:sz="4" w:color="D9D9D9"/>
              <w:right w:val="single" w:sz="4" w:color="D9D9D9"/>
            </w:tcBorders>
          </w:tcPr>
          <w:p>
            <w:pPr>
              <w:spacing w:before="100" w:after="100"/>
            </w:pPr>
            <w:r>
              <w:t>[Объём]</w:t>
            </w:r>
          </w:p>
        </w:tc>
        <w:tc>
          <w:tcPr>
            <w:tcW w:type="dxa" w:w="3213"/>
            <w:tcBorders>
              <w:top w:val="single" w:sz="4" w:color="D9D9D9"/>
              <w:left w:val="single" w:sz="4" w:color="D9D9D9"/>
              <w:bottom w:val="single" w:sz="4" w:color="D9D9D9"/>
              <w:right w:val="single" w:sz="4" w:color="D9D9D9"/>
            </w:tcBorders>
          </w:tcPr>
          <w:p>
            <w:pPr>
              <w:spacing w:before="100" w:after="100"/>
            </w:pPr>
            <w:r>
              <w:t>[Сумма]</w:t>
            </w:r>
          </w:p>
        </w:tc>
      </w:tr>
      <w:tr>
        <w:trPr>
          <w:cantSplit/>
        </w:trPr>
        <w:tc>
          <w:tcPr>
            <w:tcW w:type="dxa" w:w="3213"/>
            <w:tcBorders>
              <w:top w:val="single" w:sz="4" w:color="D9D9D9"/>
              <w:left w:val="single" w:sz="4" w:color="D9D9D9"/>
              <w:bottom w:val="single" w:sz="4" w:color="D9D9D9"/>
              <w:right w:val="single" w:sz="4" w:color="D9D9D9"/>
            </w:tcBorders>
          </w:tcPr>
          <w:p>
            <w:pPr>
              <w:spacing w:before="100" w:after="100"/>
            </w:pPr>
            <w:r>
              <w:t>Всего</w:t>
            </w:r>
          </w:p>
        </w:tc>
        <w:tc>
          <w:tcPr>
            <w:tcW w:type="dxa" w:w="3213"/>
            <w:tcBorders>
              <w:top w:val="single" w:sz="4" w:color="D9D9D9"/>
              <w:left w:val="single" w:sz="4" w:color="D9D9D9"/>
              <w:bottom w:val="single" w:sz="4" w:color="D9D9D9"/>
              <w:right w:val="single" w:sz="4" w:color="D9D9D9"/>
            </w:tcBorders>
          </w:tcPr>
          <w:p>
            <w:pPr>
              <w:spacing w:before="100" w:after="100"/>
            </w:pPr>
            <w:r>
              <w:t>[Объём]</w:t>
            </w:r>
          </w:p>
        </w:tc>
        <w:tc>
          <w:tcPr>
            <w:tcW w:type="dxa" w:w="3213"/>
            <w:tcBorders>
              <w:top w:val="single" w:sz="4" w:color="D9D9D9"/>
              <w:left w:val="single" w:sz="4" w:color="D9D9D9"/>
              <w:bottom w:val="single" w:sz="4" w:color="D9D9D9"/>
              <w:right w:val="single" w:sz="4" w:color="D9D9D9"/>
            </w:tcBorders>
          </w:tcPr>
          <w:p>
            <w:pPr>
              <w:spacing w:before="100" w:after="100"/>
            </w:pPr>
            <w:r>
              <w:t>[Сумма]</w:t>
            </w:r>
          </w:p>
        </w:tc>
      </w:tr>
    </w:tbl>
    <w:p>
      <w:r>
        <w:t>Итого: [сумма прописью] рублей. НДС не предъявляется в связи с применением Исполнителем НПД при сохранении соответствующего права.</w:t>
      </w:r>
    </w:p>
    <w:p>
      <w:r>
        <w:t>Переданные материалы, исходники и доступы: [перечень без паролей и закрытых ключей].</w:t>
      </w:r>
    </w:p>
    <w:p>
      <w:r>
        <w:t>Проверка по критериям Задания: [результат].</w:t>
        <w:br/>
        <w:t>Принятая часть услуг: [перечень].</w:t>
        <w:br/>
        <w:t>Замечания и сроки устранения: [нет / конкретный перечень].</w:t>
      </w:r>
    </w:p>
    <w:p>
      <w:r>
        <w:t>Стороны подтверждают объём принятых услуг в указанной части. Акт не заменяет чек «Мой налог» и не отменяет обязательные права в отношении скрытых недостатков.</w:t>
      </w:r>
    </w:p>
    <w:p>
      <w:r>
        <w:t>Оплачено: [сумма, дата и платёжный документ].</w:t>
        <w:br/>
        <w:t>Остаток к оплате и срок: [заполнить].</w:t>
        <w:br/>
        <w:t>Чек «Мой налог»: [дата, номер или ссылка после формирования].</w:t>
      </w:r>
    </w:p>
    <w:p>
      <w:r>
        <w:t>Исполнитель: ____________ / [ФИО] /</w:t>
        <w:br/>
        <w:br/>
        <w:t>Заказчик: ____________ / [ФИО и должность] /</w:t>
      </w:r>
    </w:p>
    <w:sectPr w:rsidR="00FC693F" w:rsidRPr="0006063C" w:rsidSect="00034616">
      <w:footerReference w:type="default" r:id="rId9"/>
      <w:pgSz w:w="11906" w:h="16838"/>
      <w:pgMar w:top="1020"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2" w:lineRule="auto" w:after="10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180"/>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оказания технических услуг</dc:title>
  <dc:subject>Шаблон для ознакомления организациям и ИП</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